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Практический аудит</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«Практический аудит»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«Практический аудит».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«Практический аудит»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законодательство Российской Федерации о бухгалтерском учете, стандарты бухгалтерского учета и бухгалтерской отчетности, международные стандарты финансовой отчетности и практику его применения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гражданское законодательство Российской Федерации, трудовое законодательство Российской Федерации, законодательство Российской Федерации о социальном страховании и обеспечении, корпоративном управлении и практику его применения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знать передовой российский и зарубежный опыт в области аудита бухгалтерской (финансовой) отчетности и оказания сопутствующих аудиту услуг, включая международные стандарты аудита, в области бухгалтерского учета и отчетности, включая международные стандарты финансовой отчетности (в зависимости от специализации, направлений деятельности), прочих услуг, связанных с аудиторской деятельностью, а также в области противодействия коррупции и коммерческому подкупу, легализации (отмыванию) доходов, полученных преступным путем и финансированию терроризма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выявлять и оценивать факторы, которые могут повлиять на выполнение аудиторского задания или оказание прочих услуг, связанных с аудиторской деятельностью, в части, относящейся к своей работе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применять на практике нормативные правовые акты в соответствующих областях знаний, различные методики, способы и подходы к выполнению своей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планировать и проводить процедуры оценки эффективности системы внутреннего контроля, управления рисками и корпоративного управления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применять на практике методы отбора элементов для проведения аудиторских или иных процедур, экстраполировать результаты аудиторской выборки на генеральную совокупность</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уметь обосновывать свое мнение ссылками на нормативные правовые акты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уметь выбирать и назначать приоритеты при выполнении своей работы в условиях ограниченных ресурсов</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уметь поддерживать деловые и этичные взаимоотношения с представителями аудируемого лица (лица, заключившего договор оказания сопутствующих аудиту или прочих услуг, связанных с аудиторской деятельностью) и с работниками аудиторской организации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уметь подготавливать и оформлять рабочие документы</w:t>
            </w:r>
          </w:p>
        </w:tc>
      </w:tr>
      <w:tr>
        <w:trPr>
          <w:trHeight w:hRule="exact" w:val="556.542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навыками изучения и анализа деятельности аудируемого лица и среды, в которой она осуществляется, включая систему внутреннего контроля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владеть навыкам ипланирования своей работы в рамках общего плана и программы аудита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ПК-4.31 владеть навыками анализировать риски в объеме, необходимом для выполнения аудиторского задания в части, относящейся к своей работе</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ПК-4.32 владеть навыками отбора элементов для проведения аудиторских процедур (аудиторской выборки) и анализа его результатов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ПК-4.33 владеть навыками выполнения аудиторских процедур (действий)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ПК-4.34 владеть навыками оценки полученных аудиторских доказательств и иной информации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ПК-4.39 владеть навыками формирования выводов в соответствии с целями выполнения аудиторского задания или оказания прочих услуг, связанных с аудиторской деятельностью, в части, относящейся к своей работе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ПК-4.40 владеть навыками документирования в части, относящейся к своей работе</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«Практический аудит» относится к обязательной части, является дисциплиной Блока Б1. «Дисциплины (модули)». Модуль "Аудит и внутренний контроль бухгалтерского учета и составления бухгалтерской (финансовой) отчетности"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021.1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Профессиональные ценности и этика аудитора</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аудиторской деятельности</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Отраслевой бухгалтерский учет</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автоматизированной обработки данных</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прикладного программирования в бухгалтерском учете</w:t>
            </w:r>
          </w:p>
          <w:p>
            <w:pPr>
              <w:jc w:val="center"/>
              <w:spacing w:after="0" w:line="240" w:lineRule="auto"/>
              <w:rPr>
                <w:sz w:val="22"/>
                <w:szCs w:val="22"/>
              </w:rPr>
            </w:pPr>
            <w:r>
              <w:rPr>
                <w:rFonts w:ascii="Times New Roman" w:hAnsi="Times New Roman" w:cs="Times New Roman"/>
                <w:color w:val="#000000"/>
                <w:sz w:val="22"/>
                <w:szCs w:val="22"/>
              </w:rPr>
              <w:t> Судебно-бухгалтерская экспертиза</w:t>
            </w:r>
          </w:p>
          <w:p>
            <w:pPr>
              <w:jc w:val="center"/>
              <w:spacing w:after="0" w:line="240" w:lineRule="auto"/>
              <w:rPr>
                <w:sz w:val="22"/>
                <w:szCs w:val="22"/>
              </w:rPr>
            </w:pPr>
            <w:r>
              <w:rPr>
                <w:rFonts w:ascii="Times New Roman" w:hAnsi="Times New Roman" w:cs="Times New Roman"/>
                <w:color w:val="#000000"/>
                <w:sz w:val="22"/>
                <w:szCs w:val="22"/>
              </w:rPr>
              <w:t> Бухгалтерский  учет бюджетных организаций</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аудиторской организации</w:t>
            </w:r>
          </w:p>
          <w:p>
            <w:pPr>
              <w:jc w:val="center"/>
              <w:spacing w:after="0" w:line="240" w:lineRule="auto"/>
              <w:rPr>
                <w:sz w:val="22"/>
                <w:szCs w:val="22"/>
              </w:rPr>
            </w:pPr>
            <w:r>
              <w:rPr>
                <w:rFonts w:ascii="Times New Roman" w:hAnsi="Times New Roman" w:cs="Times New Roman"/>
                <w:color w:val="#000000"/>
                <w:sz w:val="22"/>
                <w:szCs w:val="22"/>
              </w:rPr>
              <w:t> Основы делопроизводства в аудиторской деятельности</w:t>
            </w:r>
          </w:p>
          <w:p>
            <w:pPr>
              <w:jc w:val="center"/>
              <w:spacing w:after="0" w:line="240" w:lineRule="auto"/>
              <w:rPr>
                <w:sz w:val="22"/>
                <w:szCs w:val="22"/>
              </w:rPr>
            </w:pPr>
            <w:r>
              <w:rPr>
                <w:rFonts w:ascii="Times New Roman" w:hAnsi="Times New Roman" w:cs="Times New Roman"/>
                <w:color w:val="#000000"/>
                <w:sz w:val="22"/>
                <w:szCs w:val="22"/>
              </w:rPr>
              <w:t> Практический аудит: оценка рисков бизнес- процессов</w:t>
            </w:r>
          </w:p>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Налоговый аудит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УК-10</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p>
            <w:pPr>
              <w:jc w:val="center"/>
              <w:spacing w:after="0" w:line="240" w:lineRule="auto"/>
              <w:rPr>
                <w:sz w:val="24"/>
                <w:szCs w:val="24"/>
              </w:rPr>
            </w:pPr>
            <w:r>
              <w:rPr>
                <w:rFonts w:ascii="Times New Roman" w:hAnsi="Times New Roman" w:cs="Times New Roman"/>
                <w:color w:val="#000000"/>
                <w:sz w:val="24"/>
                <w:szCs w:val="24"/>
              </w:rPr>
              <w:t> курсовые работы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отчета о финансовых результатах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отчета о движении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отчета о финансовых результатах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отчета о движении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учетной политики и документооборота хозяйствующего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форм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учредительных документов, порядка формирования уставного капитала и расчетов с учредителями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учета кредитов и займов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сохранности, учёта и использования основных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учета операций с денежными средствами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учета дебиторской и кредиторской задолженности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учета расчетов с бюджетом и внебюджетными фондами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отчета о финансовых результатах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отчета о движении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7958.58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аудиторской проверки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классификация методик проведения аудита. Методика проведения аудиторской проверки общих документов и разделов учета.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отчета о финансовых результатах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Общий План и Программа аудита. Нормативно-законодательная и информационная база аудита. Общие принципы формирования и аудита информации о финансовых результатах. Источники  аудиторских доказательств при проверке отчета о прибылях и убытках. Особенности аудита доходов от обычных видов деятельности. Признаки соответствия показателей, отражающих доходы от обычных видов деятельности предпосылкам подготовки финансовой (бухгалтерской) отчетности. Аудит расходов по обычным видам деятельности. Проверка коммерческих и управленческих расходов. Особенности аудита прочих доходов и расходов. Аудит формирования финансового результата. Особенности аудита распределения и использования прибыли.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отчета о движении денежных средств</w:t>
            </w:r>
          </w:p>
        </w:tc>
      </w:tr>
      <w:tr>
        <w:trPr>
          <w:trHeight w:hRule="exact" w:val="1580.6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отчета о движении денежных средств, правила их формирования. Оценка риска существенного искажения показателя в разрезе предпосылок подготовки отчетности. Формирование информации о денежных потоках по сделкам со связанными сторонами. Тестирование операционной эффективности внутреннего контроля. Формирование программы аудита в ответ на оцененные риски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Обобщение результатов аудита показателя отчетности.</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отчета о финансовых результатах</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отчета о движении денежных средств</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«Практический аудит»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Штефан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Замотаева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Шурыгин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https://urait.ru/bcode/466191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Штефан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Замотаева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Шурыгин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https://urait.ru/bcode/466192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использованием</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Кучеренко,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использованием</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978-5-4487-0664-6.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http://www.iprbookshop.ru/90200.html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978-5-9916-5266-7.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https://www.biblio-online.ru/bcode/432012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419.76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79.1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2024-2025_ФГОС3++2024_Бак-ЗФО-Э(УАиА)(24)_plx_Практический аудит</dc:title>
  <dc:creator>FastReport.NET</dc:creator>
</cp:coreProperties>
</file>